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233 vom 15. Oktober 1986</w:t>
      </w:r>
    </w:p>
    <w:p>
      <w:r>
        <w:t>Bundesgericht (BGE), 1986-10-15, DE</w:t>
      </w:r>
    </w:p>
    <w:p>
      <w:r>
        <w:rPr>
          <w:b/>
        </w:rPr>
        <w:t xml:space="preserve">Quelle: </w:t>
      </w:r>
      <w:r>
        <w:t>https://mcp.opencaselaw.ch/entscheid/bge_112 IA 233</w:t>
      </w:r>
    </w:p>
    <w:p>
      <w:r>
        <w:t>FR: BGE 112 IA 233 du 15 octobre 1986</w:t>
      </w:r>
    </w:p>
    <w:p>
      <w:r>
        <w:t>IT: BGE 112 IA 233 del 15 ottobre 1986</w:t>
      </w:r>
    </w:p>
    <w:p>
      <w:pPr>
        <w:pStyle w:val="Heading2"/>
      </w:pPr>
      <w:r>
        <w:t>Regeste</w:t>
      </w:r>
    </w:p>
    <w:p>
      <w:r>
        <w:t>Regeste Art. 85 lit. a OG. Kanton Basel-Stadt. Wahl von Strafgerichtspräsidenten. Stille Wahl. Das Wahlrecht der Bürger wird nicht verletzt, wenn bei Erneuerungswahlen von Strafgerichtspräsidenten die hiefür vorgeschlagenen Kandidaten als in stiller Wahl gewählt erklärt werden, weil ihre Zahl mit derjenigen der zu besetzenden Ämter übereinstimmt, und nur für die gleichzeitig angesetzten Ersatzwahlen infolge einer Überzahl von Kandidaten eine Urnenwahl angeordnet wird. Wichtig ist allerdings, dass in der amtlichen Wahlausschreibung auf die Möglichkeit der stillen Wahl, das Vorschlagsrecht der Stimmbürger und auf die weiteren Regeln über die Durchführung der Wahl in genügender Weise hingewiesen wird (E. 2).</w:t>
      </w:r>
    </w:p>
    <w:p>
      <w:pPr>
        <w:pStyle w:val="Heading2"/>
      </w:pPr>
      <w:r>
        <w:t>Erwägungen</w:t>
      </w:r>
    </w:p>
    <w:p>
      <w:r>
        <w:rPr>
          <w:b/>
        </w:rPr>
        <w:t>E. 2</w:t>
      </w:r>
    </w:p>
    <w:p>
      <w:r>
        <w:t>a) Bei Stimmrechtsbeschwerden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von den obersten kantonalen Organen vertretenen Auslegung an; als solche gelten das Parlament und das Volk ( BGE 111 Ia 117 /118 E. 2a; 194 E. 4a; 197 E. 2a; 202 E. 2, je mit Hinweisen). b) Nach Auffassung des Beschwerdeführers beeinträchtigt das angewandte Wahlverfahren das Wahlrecht und die Wahlfreiheit des Bürgers, indem für vier der zu vergebenden sechs Präsidentenämter keine Volkswahl, sondern eine stille Wahl stattgefunden habe, obwohl die Zahl der vorgeschlagenen Kandidaten höher gewesen sei als jene der zu besetzenden Ämter. Durch eine solche Teilung der Strafgerichtspräsidentenwahl in zwei Pakete werde dem Stimmbürger die Möglichkeit genommen, wiederkandidierende BGE 112 Ia 233 S. 236 bisherige Strafgerichtspräsidenten abzuwählen, indem er für einen der andern Kandidaten stimme; der Stimmbürger verliere auch die Möglichkeit, statt der vier vom Regierungsrat als in stiller Wahl gewählt erklärten neuen Präsidenten andere, für dasselbe Amt kandidierende Bewerber zu wählen; die Wahl aus sieben Bewerbern für sechs Präsidien werde auf eine Wahl aus drei Bewerbern für zwei Präsidien reduziert; den politischen Parteien werde ermöglicht, durch abgesprochene Plazierung in den richtigen Wahlkomplex einzelne Kandidaten zu bevorzugen, d.h. ihnen ein Präsidium ohne Wahlverfahren zuzuhalten, andere Kandidaten aber in ein echtes Wahlverfahren zu verweisen. c) Der Beschwerdeführer schildert die Auswirkungen des hier angewandten Wahlverfahrens an sich zutreffend. Die Frage ist, ob dieses Verfahren auf einer richtigen Auslegung der massgebenden Vorschriften beruht. Dass die in § 40 des basel-städtischen Wahlgesetzes vorgesehene Einrichtung der stillen Wahl, welche in gleicher oder ähnlicher Form auch in andern Kantonen und im Bund existiert (vgl. Z. GIACOMETTI, Das Staatsrecht der schweizerischen Kantone, Zürich 1941, S. 282; KASPAR LAELY, Die stille Wahl in der Demokratie, Diss. Bern 1951, S. 17-27), schon an sich gegen übergeordnetes kantonales oder eidgenössisches Recht verstosse, wird vom Beschwerdeführer nicht geltend gemacht; zu prüfen ist lediglich die Handhabung der angerufenen Vorschriften des kantonalen Wahlgesetzes und des kantonalen Gerichtsorganisationsgesetzes. d) Die hier in Frage stehenden Richterwahlen finden nach dem in §§ 32 ff. des Wahlgesetzes vorgesehenen Majorzverfahren statt. Danach können für die zu besetzenden Ämter innert bestimmter Frist Wahlvorschläge eingereicht werden, welche von mindestens zehn Stimmberechtigten unterzeichnet sein müssen, wobei ein Stimmberechtigter nur einen Wahlvorschlag unterzeichnen darf ( § 34 Abs. 1 und 2 WG ). Gleichzeitig mit dem Wahlvorschlag muss die schriftliche Zustimmung der vorgeschlagenen Kandidaten eingereicht werden ( § 34 Abs. 3 WG ). § 40 Abs. 1 WG bestimmt alsdann: "Ist bei Wahlen die Zahl der Vorgeschlagenen gleich gross wie die Zahl der zu Wählenden, so findet keine Wahlhandlung statt. Der Regierungsrat widerruft den angesetzten Wahlgang und erklärt die Vorgeschlagenen als gewählt." Sind diese Voraussetzungen einer stillen Wahl nicht erfüllt, so findet ein Urnengang statt, bei dem der Stimmbürger an die erfolgten, auf gedruckten Wahlzetteln erscheinenden Wahlvorschläge nicht gebunden ist, BGE 112 Ia 233 S. 237 sondern auf den mitverteilten leeren Wahlzetteln seine Stimme auch anderen wählbaren Kandidaten geben kann ( § § 32 und 38 WG ). Nötigenfalls findet ein zweiter Wahlgang statt, wobei neue Wahlvorschläge eingereicht werden können und wiederum die Möglichkeit der stillen Wahl besteht ( § 46 WG ). e) Nach Meinung des Beschwerdeführers hätten im vorliegenden Fall die sechs vakanten Stellen von Strafgerichtspräsidenten unter dem Gesichtswinkel der Regelung über die stille Wahl als eine einzige Ämtergruppe behandelt werden müssen, womit die Voraussetzungen einer stillen Wahl wegen der Überzahl von Wahlvorschlägen (sieben Kandidaten für sechs Ämter) nicht gegeben gewesen wären. Diese Betrachtungsweise wäre dann zulässig und richtig, wenn es lediglich auf die Funktion des zu vergebenden Amtes ankäme und nicht auch auf den Zeitraum, für den die Wahl erfolgen soll. In bezug auf dieses zeitliche Element waren die zu vergebenden Präsidentenämter nicht identisch. Bei vier Ämtern ging es um eine Wiederwahl für die volle Amtsdauer von sechs Jahren (1986-1991), während die beiden weiteren, durch vorzeitigen Rücktritt freigewordenen Ämter lediglich für den Rest der für sie noch laufenden Amtsdauer (1986-1988) zu besetzen waren. Diesen Unterschied verkennt auch der Beschwerdeführer nicht. Er nimmt jedoch an, der basel-städtische Gesetzgeber habe eine Gleichsetzung von Erneuerungswahlen und Ersatzwahlen gewollt, indem er in § 6 des Gerichtsorganisationsgesetzes für die Verteilung von Richterämtern mit ungleicher Amtsdauer auf gewählte Kandidaten ein besonderes Verfahren vorsehe. Unter der Überschrift "Ersatzwahl" bestimmt § 6 des GOG zunächst, dass bei Ausscheiden eines Richters vor Ablauf der Amtsdauer eine "Ersatzwahl" für den Rest seiner Amtsdauer stattzufinden hat (Abs. 1), wobei Ersatzwahlen für Gerichtspräsidenten und für Statthalter "ohne Verzug" und für ausscheidende Richter wenigstens einmal jährlich erfolgen müssen (Abs. 2). Abs. 4 lautet: "Sind gleichzeitig mehrere Stellen von Präsidenten oder Richtern zu ersetzen, deren Amtsdauer nicht zu gleicher Zeit abläuft, so wird in einer Plenarsitzung des Gerichts durch das Los bestimmt, welche Amtsdauer für jeden der Neugewählten gelte." Diese Bestimmung bezieht sich, worauf schon die erwähnte Überschrift des ganzen Paragraphen hindeutet, ausschliesslich auf Fälle von Ersatzwahlen. Der Einwand des Beschwerdeführers, letztlich sei jede Wahl eine Ersatzwahl, soweit es nicht um die Besetzung eines neugeschaffenen Amtes gehe, und die vom Regierungsrat im Verfahren BGE 112 Ia 233 S. 238 der stillen Wahl vergebenen vier Präsidialämter seien insofern Ersatzwahlen gewesen, als zwei der bisherigen Amtsinhaber nicht mehr kandidiert hätten, überzeugt nicht. Das Gerichtsorganisationsgesetz verwendet den Begriff der Ersatzwahl, wie aus der Umschreibung von § 6 Abs. 1 GOG hervorgeht, durchaus in einem technischen Sinn; es unterscheidet zwischen den allgemeinen, periodischen "Erneuerungswahlen" für eine ganze neue Amtsdauer (§ 2) und den "Ersatzwahlen" für den Rest der laufenden Amtsdauer bei vorzeitigem Austritt eines Gerichtsmitgliedes (§ 6 Abs. 1). Der Randtitel zu § 6 GOG sowie die ersten drei Absätze dieses Paragraphen, welche nur von der Ersatzwahl handeln, sprechen dafür, dass auch der anschliessende Abs. 4 lediglich den Fall der Kumulierung gleichzeitiger Ersatzwahlen für unterschiedlich lange Restperioden regeln will. Auch der Wortlaut von Abs. 4 stützt diese Annahme, indem von zu "ersetzenden" Stellen die Rede ist, deren "Amtsdauer nicht zur gleichen Zeit abläuft", was auf Ersatzwahlen hindeutet. Die dargelegte naheliegende Auslegung ergibt einen vernünftigen Sinn: Sind infolge vorzeitigen Rücktrittes von Richtern, die nicht alle der gleichen sechsjährigen Amtsperiode gemäss § 2 GOG zugehören (und deren Amtsdauer deshalb nicht zur gleichen Zeit abläuft), mehrere Ersatzwahlen vorzunehmen, so können die betreffenden Stellen für das Wahlverfahren als gleichwertig betrachtet und damit zu einer Gruppe zusammengefasst werden, was das Prozedere (insbesondere hinsichtlich der Wahlvorschläge durch die Parteien) vereinfacht; die Zuteilung der unterschiedlich langen Restperioden an die einzelnen Gewählten findet erst nach der Wahl auf dem Weg der Verlosung statt. Es wäre an sich denkbar, dieses Verfahren auch dann anzuwenden, wenn, wie im vorliegenden Fall, Ersatzwahlen und Erneuerungswahlen zeitlich zusammenfallen. Hierin läge allerdings eine Abweichung vom System der sechsjährigen Amtsdauer, wie es in § 2 GOG verankert ist. Zwar müssten nach Auffassung des Beschwerdeführers, da § 6 Abs. 4 GOG von einer Verlosung unter den "Neugewählten" spricht, nur die in einer Erneuerungswahl neu auftretenden Kandidaten und nicht auch die sich zur Wiederwahl stellenden bisherigen Richter dem Verfahren nach § 6 Abs. 4 GOG und damit dem Risiko der Zuteilung einer verkürzten Amtsdauer unterworfen werden. Selbst ein solches Vorgehen stünde jedoch im Widerspruch zu § 2 Abs. 1 Satz 1 GOG, wonach alle Richter, bisherige und neu einzusetzende, anlässlich der Erneuerungswahlen auf die Dauer von sechs Jahren gewählt werden. Das BGE 112 Ia 233 S. 239 vom Beschwerdeführer vorgeschlagene Vorgehen liefe auf eine Privilegierung bisheriger Amtsinhaber hinaus, die in § 2 GOG keine Grundlage findet. Der Beschwerdeführer kann schliesslich auch nicht behaupten, dass die von ihm postulierte Auslegung von § 6 Abs. 4 des Gerichtsorganisationsgesetzes einer bisherigen kantonalen Praxis entspreche. Es besteht damit für das Bundesgericht kein Grund, von der sich an Wortlaut und Systematik des Gesetzes anlehnenden Auslegung, wie sie der Regierungsrat und der Grosse Rat vertreten, abzuweichen. Eine solche Regelung führt zwar insoweit zu einer Einschränkung der Wahlfreiheit des Stimmbürgers, als sie das Zustandekommen stiller Wahlen, wie der vorliegende Fall zeigt, erleichtert. Jeder Stimmbürger hat es jedoch in der Hand, durch Einreichung eines eigenen, zu einer Überzahl von Kandidaten führenden Wahlvorschlages eine Volkswahl zu erzwingen, wenn er mit den von anderer Seite vorgeschlagenen Kandidaten nicht einverstanden ist oder weiteren Kandidaten eine Wahlchance verschaffen will; es ist dazu kein übermässiger Aufwand erforderlich (Sammlung von zehn Unterschriften, Einwilligung eines wählbaren Kandidaten). Wichtig ist, dass in der amtlichen Wahlausschreibung auf die Möglichkeit der stillen Wahl, das Vorschlagsrecht der Stimmbürger und auf die weiteren Regeln über die Durchführung der Wahl in genügender Weise hingewiesen wird (KASPAR LAELY, a.a.O., S. 29). Auch in dieser Hinsicht lässt sich das Vorgehen der basel-städtischen Behörden nicht beanstanden. Die im Kantonsblatt vom 5. Juni 1985 publizierte Wahlanordnung enthielt alle erforderlichen Angaben, und es war daraus ersehbar, dass die Ersatzwahlen für zwei Strafgerichtspräsidien zwar gleichzeitig mit den allgemeinen Erneuerungswahlen für die Gerichte, aber in einem gesonderten Verfahren durchgeführt wurden und mithin auch bezüglich der Wahlvorschläge und einer allfälligen stillen Wahl als gesonderter Vorgang zu behandeln waren. Dementsprechend haben alle politischen Parteien bei ihren Wahlvorschlägen für das Amt eines Strafgerichtspräsidenten zwischen den der Erneuerungswahl und den der Ersatzwahl unterliegenden Stellen differenziert. Es hätte am Beschwerdeführer gelegen, sich rechtzeitig über die geltenden Regeln ins Bild zu setzen, wenn er von den ihm als Stimmbürger in der Vorphase dieser Wahlen zustehenden Rechten Gebrauch machen wollte. Dass der Regierungsrat das im vorliegenden Fall durchgeführte Verfahren im nachhinein selber nicht für befriedigend hält, ändert an der Rechtmässigkeit der angefochtenen Wahlen nichts; der BGE 112 Ia 233 S. 240 Regierungsrat ist nicht der Meinung, dass die Erneuerungs- und Ersatzwahlen für die Strafgerichtspräsidien in der vom Beschwerdeführer verlangten Weise hätten vereinigt werden müssen, sondern er will in Zukunft in derartigen Fällen die Erneuerungs- und Ersatzwahlen auf verschiedene Termine festlegen, um für die Stimmbürger noch klarere Verhältnisse zu schaffen und um Kandidaten, welche bei den Erneuerungswahlen nicht gewählt werden, eine nochmalige Beteiligung an der später anzusetzenden Ersatzwahl zu ermöglichen (vgl. Antwort des Regierungsrates an den Grossen Rat auf die Interpellation Stark vom 24. September 1985). Auf die Einwände, welche der Beschwerdeführer gegen diese angekündigte neue Praxis erhebt, ist hier nicht einzutreten. Die Gegenstand des vorliegenden Verfahrens bildenden Wahlen wurden jedenfalls korrekt durchgeführt.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